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05" w:rsidRPr="00430C05" w:rsidRDefault="00430C05" w:rsidP="00430C05">
      <w:pPr>
        <w:pBdr>
          <w:bottom w:val="single" w:sz="4" w:space="3" w:color="DDDDDD"/>
        </w:pBdr>
        <w:spacing w:after="180" w:line="240" w:lineRule="auto"/>
        <w:textAlignment w:val="baseline"/>
        <w:outlineLvl w:val="1"/>
        <w:rPr>
          <w:rFonts w:ascii="Arial" w:eastAsia="Times New Roman" w:hAnsi="Arial" w:cs="Arial"/>
          <w:b/>
          <w:bCs/>
          <w:color w:val="0A264F"/>
          <w:sz w:val="28"/>
          <w:szCs w:val="28"/>
        </w:rPr>
      </w:pPr>
      <w:r w:rsidRPr="00430C05">
        <w:rPr>
          <w:rFonts w:ascii="Arial" w:eastAsia="Times New Roman" w:hAnsi="Arial" w:cs="Arial"/>
          <w:b/>
          <w:bCs/>
          <w:color w:val="0A264F"/>
          <w:sz w:val="28"/>
          <w:szCs w:val="28"/>
        </w:rPr>
        <w:t>О ПРАВАХ И ОБЯЗАННОСТЯХ ФИЗИЧЕСКИХ ЛИЦ, О ТРЕБОВАНИЯХ, ПРЕДЪЯВЛЯЕМЫХ К СОБСТВЕННИКАМ ЖИЛЫХ ДОМОВ, СОБСТВЕННИКАМИ ПОМЕЩЕНИЙ В МНОГОКВАРТИРНЫХ ДОМАХ, ЛИЦАМ, ОТВЕТСТВЕННЫМ ЗА СОДЕРЖАНИЕ МНОГОКВАРТИРНЫХ ДОМОВ В ОБЛАСТИ ЭНЕРГОСБЕРЕЖЕНИЯ</w:t>
      </w:r>
    </w:p>
    <w:p w:rsidR="00430C05" w:rsidRDefault="00430C05" w:rsidP="00430C05">
      <w:pPr>
        <w:pStyle w:val="a3"/>
        <w:spacing w:before="0" w:beforeAutospacing="0" w:after="0" w:afterAutospacing="0" w:line="360" w:lineRule="atLeast"/>
        <w:jc w:val="center"/>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ИНФОРМАЦИЯ</w:t>
      </w:r>
    </w:p>
    <w:p w:rsidR="00430C05" w:rsidRDefault="00430C05" w:rsidP="00430C05">
      <w:pPr>
        <w:pStyle w:val="a3"/>
        <w:spacing w:before="0" w:beforeAutospacing="0" w:after="120" w:afterAutospacing="0" w:line="360" w:lineRule="atLeast"/>
        <w:jc w:val="center"/>
        <w:textAlignment w:val="baseline"/>
        <w:rPr>
          <w:rFonts w:ascii="Arial" w:hAnsi="Arial" w:cs="Arial"/>
          <w:color w:val="444444"/>
          <w:sz w:val="17"/>
          <w:szCs w:val="17"/>
        </w:rPr>
      </w:pPr>
      <w:r>
        <w:rPr>
          <w:rFonts w:ascii="Arial" w:hAnsi="Arial" w:cs="Arial"/>
          <w:color w:val="444444"/>
          <w:sz w:val="17"/>
          <w:szCs w:val="17"/>
        </w:rPr>
        <w:t>по исполнению Федерального закона № 261 от 23.11.2009 г. о правах и обязанностях физических лиц, о требованиях, предъявляемых к собственникам жилых домов, собственниками помещений в многоквартирных домах, лицам, ответственным за содержание многоквартирных домов, и об иных требованиях указанного выше Федерального закона.</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Обязательна ли установка приборов учёта энергоресурсов?</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Да, обязательна. Согласно закону расчёты за энергетические ресурсы, включая воду, должны осуществляться на основании данных об их количественном значении, определенных при помощи приборов учёта.</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В какие сроки необходимо установить приборы учета энергоресурсов?</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Федеральным законом от 23.11.2009 № 261-ФЗ на собственников помещений в многоквартирных домах и собственников жилых домов возложена обязанность по установке приборов учета энергоресурсов.</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С 1 января 2012 г. вводимые в эксплуатацию и реконструируемые многоквартирные жилые дома должны оснащаться индивидуальными </w:t>
      </w:r>
      <w:proofErr w:type="spellStart"/>
      <w:r>
        <w:rPr>
          <w:rFonts w:ascii="Arial" w:hAnsi="Arial" w:cs="Arial"/>
          <w:color w:val="444444"/>
          <w:sz w:val="17"/>
          <w:szCs w:val="17"/>
        </w:rPr>
        <w:t>теплосчётчиками</w:t>
      </w:r>
      <w:proofErr w:type="spellEnd"/>
      <w:r>
        <w:rPr>
          <w:rFonts w:ascii="Arial" w:hAnsi="Arial" w:cs="Arial"/>
          <w:color w:val="444444"/>
          <w:sz w:val="17"/>
          <w:szCs w:val="17"/>
        </w:rPr>
        <w:t xml:space="preserve"> в квартирах. С момента принятия закона не допускается ввод в эксплуатацию зданий, строений, сооружений без оснащения их приборами учёта энергоресурсов и воды.</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Кто должен оплачивать установку приборов учёта?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Закон обязывает собственников зданий, строений, сооружений, жилых, дачных или садовых домов, помещений в многоквартирных домах нести расходы на установку приборов учёта.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Если собственник не в состоянии оплатить прибор учёта и его установку сразу, организация-поставщик энергоресурсов обязана предоставить рассрочку по платежам со сроком до 5 лет.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Установка коллективных приборов учета осуществляется за счет средств собственников помещений в многоквартирном доме.</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Нужно ли собственникам помещений многоквартирного дома собирать общее собрание для принятия решения об установке приборов учёта?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Да, нужно. Прежде чем приступать к организации в доме учёта тепла, необходимо коллективное решение собственников, принятое большинством голосов на общем собрании. Поскольку будущий узел учёта станет </w:t>
      </w:r>
      <w:proofErr w:type="spellStart"/>
      <w:r>
        <w:rPr>
          <w:rFonts w:ascii="Arial" w:hAnsi="Arial" w:cs="Arial"/>
          <w:color w:val="444444"/>
          <w:sz w:val="17"/>
          <w:szCs w:val="17"/>
        </w:rPr>
        <w:lastRenderedPageBreak/>
        <w:t>общедомовой</w:t>
      </w:r>
      <w:proofErr w:type="spellEnd"/>
      <w:r>
        <w:rPr>
          <w:rFonts w:ascii="Arial" w:hAnsi="Arial" w:cs="Arial"/>
          <w:color w:val="444444"/>
          <w:sz w:val="17"/>
          <w:szCs w:val="17"/>
        </w:rPr>
        <w:t xml:space="preserve"> собственностью, оплата оборудования и работ целиком или частично (в случае участия в федеральных, областных или муниципальных программах) распределяется между всеми собственниками квартир.</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Задача управляющей компании или правления ТСЖ, ЖСК – донести информацию до собственников,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w:t>
      </w:r>
      <w:proofErr w:type="spellStart"/>
      <w:r>
        <w:rPr>
          <w:rFonts w:ascii="Arial" w:hAnsi="Arial" w:cs="Arial"/>
          <w:color w:val="444444"/>
          <w:sz w:val="17"/>
          <w:szCs w:val="17"/>
        </w:rPr>
        <w:t>энергоснабжающей</w:t>
      </w:r>
      <w:proofErr w:type="spellEnd"/>
      <w:r>
        <w:rPr>
          <w:rFonts w:ascii="Arial" w:hAnsi="Arial" w:cs="Arial"/>
          <w:color w:val="444444"/>
          <w:sz w:val="17"/>
          <w:szCs w:val="17"/>
        </w:rPr>
        <w:t xml:space="preserve"> организации и разбирательством в суде. УК или правление ТСЖ, ЖСК должны предложить собственникам варианты: перечень компаний,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Какую выгоду получит потребитель при установке прибора учета?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Установка прибора учета направлена, прежде всего, к переходу на оплату за фактическую величину потребленного ресурса, определяемого по показаниям прибора учета.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В соответствии с Правилами предоставления коммунальных услуг гражданам, утвержденными постановлением Правительства РФ от 23.05.2006 № 307, на примере многоквартирного дома, в помещениях которого отсутствуют коллективные приборы учета, и наличии общих и индивидуальных приборов учета энергоресурсов можно отметить следующее. В случае, если величина норматива потребления коммунальной услуги меньше фактической величины потребления ресурса, измеренного по показаниям прибора учета, то при установке прибора учета размер платы, вследствие возросшего фактического потребления ресурса, увеличится, а если норматив был высокий – то граждане соответственно будут платить меньше.</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Если в доме установлен коллективный прибор учета, то размер платы за коммунальную услугу (холодное водоснабжение, горячее водоснабжение, газоснабжение и электроснабжение) для граждан, установивших индивидуальный приборы учета, будет зависеть от отношения объема коммунального ресурса, определенного по показаниям коллективного прибора учета, к сумме объема ресурса, измеренного индивидуальными приборами учета, и объема ресурса, определенного исходя из норматива потребления коммунальной услуги.</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Вышеуказанные Правила предоставления коммунальных услуг гражданам утратят силу в связи с принятием постановления Правительства РФ от 06.05.2011 № 354 со дня вступления в силу Правил предоставления коммунальных услуг собственникам и пользователям помещений в многоквартирных домах и жилых домов.</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Есть ли исключения из требований по установке приборов учета?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На основании ч. 1 ст. 13 Федерального закона от 23.11.2009 № 261-ФЗ требования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w:t>
      </w:r>
      <w:proofErr w:type="spellStart"/>
      <w:r>
        <w:rPr>
          <w:rFonts w:ascii="Arial" w:hAnsi="Arial" w:cs="Arial"/>
          <w:color w:val="444444"/>
          <w:sz w:val="17"/>
          <w:szCs w:val="17"/>
        </w:rPr>
        <w:t>гигакалории</w:t>
      </w:r>
      <w:proofErr w:type="spellEnd"/>
      <w:r>
        <w:rPr>
          <w:rFonts w:ascii="Arial" w:hAnsi="Arial" w:cs="Arial"/>
          <w:color w:val="444444"/>
          <w:sz w:val="17"/>
          <w:szCs w:val="17"/>
        </w:rPr>
        <w:t xml:space="preserve"> в час (в отношении организации учета используемой тепловой энергии).</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Кто имеет право устанавливать приборы учёта энергоресурсов?</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Приборы учёта имеют право устанавливать организации-поставщики энергоресурсов и специализированные организации. Данные организации должны иметь профильных специалистов необходимого уровня квалификации, деятельность по установке приборов учёта должна быть прописана в уставных документах организации, </w:t>
      </w:r>
      <w:r>
        <w:rPr>
          <w:rFonts w:ascii="Arial" w:hAnsi="Arial" w:cs="Arial"/>
          <w:color w:val="444444"/>
          <w:sz w:val="17"/>
          <w:szCs w:val="17"/>
        </w:rPr>
        <w:lastRenderedPageBreak/>
        <w:t>организация должна быть членом СРО в строительстве и иметь выданное СРО свидетельство о допуске к данному конкретному виду работ.</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Поставщики энергоресурсов не только имеют право, а обязаны осуществлять деятельность по установке, замене, эксплуатации приборов учёта используемых энергетических ресурсов, снабжение которыми или передачу которых они осуществляют.</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До 1 июля 2010 г. </w:t>
      </w:r>
      <w:proofErr w:type="spellStart"/>
      <w:r>
        <w:rPr>
          <w:rFonts w:ascii="Arial" w:hAnsi="Arial" w:cs="Arial"/>
          <w:color w:val="444444"/>
          <w:sz w:val="17"/>
          <w:szCs w:val="17"/>
        </w:rPr>
        <w:t>энергоснабжающие</w:t>
      </w:r>
      <w:proofErr w:type="spellEnd"/>
      <w:r>
        <w:rPr>
          <w:rFonts w:ascii="Arial" w:hAnsi="Arial" w:cs="Arial"/>
          <w:color w:val="444444"/>
          <w:sz w:val="17"/>
          <w:szCs w:val="17"/>
        </w:rPr>
        <w:t xml:space="preserve"> организации должны были предоставить собственникам помещений в многоквартирных домах, лицам, ответственным за содержание многоквартирных домов и лицам, представляющим интересы собственников, предложения об оснащении приборами учёта используемых энергоресурсов.</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Кто участвует в оформлении акта ввода индивидуального прибора учета в эксплуатацию?</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Имеет ли право исполнитель коммунальной услуги требовать деньги за пломбирование и последующее обслуживание счетчиков?</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После установки индивидуального прибора учета потребитель должен направить заявление исполнителю коммунальной услуги (управляющая организация, товарищество собственников жилья, а при непосредственном управлении – </w:t>
      </w:r>
      <w:proofErr w:type="spellStart"/>
      <w:r>
        <w:rPr>
          <w:rFonts w:ascii="Arial" w:hAnsi="Arial" w:cs="Arial"/>
          <w:color w:val="444444"/>
          <w:sz w:val="17"/>
          <w:szCs w:val="17"/>
        </w:rPr>
        <w:t>ресурсоснабжающая</w:t>
      </w:r>
      <w:proofErr w:type="spellEnd"/>
      <w:r>
        <w:rPr>
          <w:rFonts w:ascii="Arial" w:hAnsi="Arial" w:cs="Arial"/>
          <w:color w:val="444444"/>
          <w:sz w:val="17"/>
          <w:szCs w:val="17"/>
        </w:rPr>
        <w:t xml:space="preserve"> организация) о согласовании установки прибора учета и внесении необходимых изменений в договор на поставку ресурса.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После подачи заявления представитель исполнителя коммунальной услуги, организация, установившая прибор учета, и потребитель оформляют акт ввода прибора учета в эксплуатацию.</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В целях исключения случаев бесконтрольного демонтажа прибора учета производится пломбирование установки прибора учета.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Необходимо отметить, что поскольку ввод прибора учета в эксплуатацию может быть осуществлен только исполнителем коммунальной услуги,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По желанию потребитель вправе заключить договор о техническом обслуживании прибора учета. Техническое обслуживание прибора учета может включать работы по прочистке фильтров, проверке сохранности пломб, осмотру состояния и визуальному контролю работы счетчиков.</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Какую ответственность несут собственники за отказ от установки приборов учёта?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Если до 1 июля 2012 г. т до 1 января 2015 г. (см. выше) в ответ на предложения по установке приборов учёта от поставщика энергоресурсов потребитель не установит счётчик, то </w:t>
      </w:r>
      <w:proofErr w:type="spellStart"/>
      <w:r>
        <w:rPr>
          <w:rFonts w:ascii="Arial" w:hAnsi="Arial" w:cs="Arial"/>
          <w:color w:val="444444"/>
          <w:sz w:val="17"/>
          <w:szCs w:val="17"/>
        </w:rPr>
        <w:t>энергоснабжающая</w:t>
      </w:r>
      <w:proofErr w:type="spellEnd"/>
      <w:r>
        <w:rPr>
          <w:rFonts w:ascii="Arial" w:hAnsi="Arial" w:cs="Arial"/>
          <w:color w:val="444444"/>
          <w:sz w:val="17"/>
          <w:szCs w:val="17"/>
        </w:rPr>
        <w:t xml:space="preserve"> организация вправе принудительно его установить, и взыскать по суду с потребителя все расходы по установке плюс судебные издержки.</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proofErr w:type="spellStart"/>
      <w:r>
        <w:rPr>
          <w:rFonts w:ascii="Arial" w:hAnsi="Arial" w:cs="Arial"/>
          <w:color w:val="444444"/>
          <w:sz w:val="17"/>
          <w:szCs w:val="17"/>
        </w:rPr>
        <w:t>Ресурсоснабжающие</w:t>
      </w:r>
      <w:proofErr w:type="spellEnd"/>
      <w:r>
        <w:rPr>
          <w:rFonts w:ascii="Arial" w:hAnsi="Arial" w:cs="Arial"/>
          <w:color w:val="444444"/>
          <w:sz w:val="17"/>
          <w:szCs w:val="17"/>
        </w:rPr>
        <w:t xml:space="preserve"> организации не вправе отказать обратившимся к ним лицам в заключении договора, регулирующего условия установки, замены и (или) эксплуатации приборов учёта используемых ресурсов, снабжение которыми или передачу которых они осуществляют. Цена такого договора определяется соглашением сторон. Порядок заключения и существенные условия такого договора утверждены приказом Министерства энергетики Российской Федерации от 07.04.2010 № 149.</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lastRenderedPageBreak/>
        <w:t>Кто осуществляет контроль за соблюдением обязанностей по установке приборов учёта энергоресурсов?</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Контроль за соблюдением данных обязанностей осуществляет Федеральная антимонопольная служба (ФАС) и Федеральная служба по экологическому, технологическому и атомному надзору (</w:t>
      </w:r>
      <w:proofErr w:type="spellStart"/>
      <w:r>
        <w:rPr>
          <w:rFonts w:ascii="Arial" w:hAnsi="Arial" w:cs="Arial"/>
          <w:color w:val="444444"/>
          <w:sz w:val="17"/>
          <w:szCs w:val="17"/>
        </w:rPr>
        <w:t>Ростехнадзор</w:t>
      </w:r>
      <w:proofErr w:type="spellEnd"/>
      <w:r>
        <w:rPr>
          <w:rFonts w:ascii="Arial" w:hAnsi="Arial" w:cs="Arial"/>
          <w:color w:val="444444"/>
          <w:sz w:val="17"/>
          <w:szCs w:val="17"/>
        </w:rPr>
        <w:t>) и их территориальные органы в субъектах РФ.</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Предусмотрены ли штрафные санкции за не соблюдение обязанностей по установке приборов учёта энергоресурсов?</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Да, предусмотрены. Законом об энергосбережении (статья 37) внесены поправки в Кодекс Российской Федерации об административных правонарушениях (</w:t>
      </w:r>
      <w:proofErr w:type="spellStart"/>
      <w:r>
        <w:rPr>
          <w:rFonts w:ascii="Arial" w:hAnsi="Arial" w:cs="Arial"/>
          <w:color w:val="444444"/>
          <w:sz w:val="17"/>
          <w:szCs w:val="17"/>
        </w:rPr>
        <w:t>КоАП</w:t>
      </w:r>
      <w:proofErr w:type="spellEnd"/>
      <w:r>
        <w:rPr>
          <w:rFonts w:ascii="Arial" w:hAnsi="Arial" w:cs="Arial"/>
          <w:color w:val="444444"/>
          <w:sz w:val="17"/>
          <w:szCs w:val="17"/>
        </w:rPr>
        <w:t>).</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Несоблюдение требований законодательства об установке приборов учёта (стадии проектирования, реконструкции, капитального ремонта, строительства) – штраф на должностных лиц от 20 до 30 тыс. руб., на организацию от 500 до 600 тыс. руб.</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Несоблюдение требований к поставщикам энергоресурсов по предложению установки приборов учёта собственникам жилых домов, дачных, садовых домов и их представителям. Штраф на должностных лиц от 20 до 30 тыс. руб., на </w:t>
      </w:r>
      <w:proofErr w:type="spellStart"/>
      <w:r>
        <w:rPr>
          <w:rFonts w:ascii="Arial" w:hAnsi="Arial" w:cs="Arial"/>
          <w:color w:val="444444"/>
          <w:sz w:val="17"/>
          <w:szCs w:val="17"/>
        </w:rPr>
        <w:t>юрлиц</w:t>
      </w:r>
      <w:proofErr w:type="spellEnd"/>
      <w:r>
        <w:rPr>
          <w:rFonts w:ascii="Arial" w:hAnsi="Arial" w:cs="Arial"/>
          <w:color w:val="444444"/>
          <w:sz w:val="17"/>
          <w:szCs w:val="17"/>
        </w:rPr>
        <w:t xml:space="preserve"> от 100 до 150 тыс. руб.</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Необоснованный отказ или уклонение организации, на которую возложена обязанность по установке, замене, эксплуатации приборов учёта используемых энергетических ресурсов, от заключения соответствующего договора и (или) от его исполнения, а равно нарушение установленного порядка его заключения, либо несоблюдение установленных для нее в качестве обязательных требований об установке, замене, эксплуатации приборов учёта используемых энергетических ресурсов – штраф на должностных лиц от 20 до 30 тыс. рублей; на ИП – от 20 до 30 тыс. руб.; на юридических лиц – от 50 до 100 тыс. руб.</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Несоблюдение требований об оснащении жилого дома приборами учёта лицами, ответственными за содержание многоквартирных домов – штраф на ответственное лицо от 10 до 15 тыс. руб., на </w:t>
      </w:r>
      <w:proofErr w:type="spellStart"/>
      <w:r>
        <w:rPr>
          <w:rFonts w:ascii="Arial" w:hAnsi="Arial" w:cs="Arial"/>
          <w:color w:val="444444"/>
          <w:sz w:val="17"/>
          <w:szCs w:val="17"/>
        </w:rPr>
        <w:t>юрлиц</w:t>
      </w:r>
      <w:proofErr w:type="spellEnd"/>
      <w:r>
        <w:rPr>
          <w:rFonts w:ascii="Arial" w:hAnsi="Arial" w:cs="Arial"/>
          <w:color w:val="444444"/>
          <w:sz w:val="17"/>
          <w:szCs w:val="17"/>
        </w:rPr>
        <w:t xml:space="preserve"> от 20 до 30 тыс. руб.</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Несоблюдение требований об оснащении нежилых зданий, строений, сооружений приборами учёта лицами, ответственными за их содержание – штраф на должностных лиц от 10 до 15 тыс. руб., на ИП от 25 до 35 тыс. руб., на </w:t>
      </w:r>
      <w:proofErr w:type="spellStart"/>
      <w:r>
        <w:rPr>
          <w:rFonts w:ascii="Arial" w:hAnsi="Arial" w:cs="Arial"/>
          <w:color w:val="444444"/>
          <w:sz w:val="17"/>
          <w:szCs w:val="17"/>
        </w:rPr>
        <w:t>юрлиц</w:t>
      </w:r>
      <w:proofErr w:type="spellEnd"/>
      <w:r>
        <w:rPr>
          <w:rFonts w:ascii="Arial" w:hAnsi="Arial" w:cs="Arial"/>
          <w:color w:val="444444"/>
          <w:sz w:val="17"/>
          <w:szCs w:val="17"/>
        </w:rPr>
        <w:t xml:space="preserve"> от 100 до 150 тыс. руб.</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Кто осуществляет техническое обслуживание и ремонт приборов учёта?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Собственник обязан обеспечить эксплуатацию приборов учёта в соответствии с техническими требованиями на прибор. Таким образом, у владельца узла учёта должен быть заключен договор на техническое обслуживание приборов учёта с обслуживающей организацией (например, это может быть организация по установке приборов учёта, </w:t>
      </w:r>
      <w:proofErr w:type="spellStart"/>
      <w:r>
        <w:rPr>
          <w:rFonts w:ascii="Arial" w:hAnsi="Arial" w:cs="Arial"/>
          <w:color w:val="444444"/>
          <w:sz w:val="17"/>
          <w:szCs w:val="17"/>
        </w:rPr>
        <w:t>энергоснабжающая</w:t>
      </w:r>
      <w:proofErr w:type="spellEnd"/>
      <w:r>
        <w:rPr>
          <w:rFonts w:ascii="Arial" w:hAnsi="Arial" w:cs="Arial"/>
          <w:color w:val="444444"/>
          <w:sz w:val="17"/>
          <w:szCs w:val="17"/>
        </w:rPr>
        <w:t xml:space="preserve"> организация, управляющая компания).</w:t>
      </w:r>
      <w:r>
        <w:rPr>
          <w:rFonts w:ascii="Arial" w:hAnsi="Arial" w:cs="Arial"/>
          <w:color w:val="444444"/>
          <w:sz w:val="17"/>
          <w:szCs w:val="17"/>
        </w:rPr>
        <w:br/>
        <w:t>Работы по ремонту приборов учёта выполняются на предприятиях-изготовителях приборов или специализированном ремонтном предприятии в соответствии с утвержденным технологическим процессом. После ремонта прибора учёта необходимо провести внеочередную поверку.</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Кто осуществляет и оплачивает поверку приборов учёта?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В обязанности собственника входит обеспечение достоверности показаний приборов учёта, в частности, их своевременная метрологическая поверка, т.е. поверка оплачивается из собственных средств собственника.</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lastRenderedPageBreak/>
        <w:t>Метрологическое обеспечение достоверности показаний приборов учёта заключается в периодической их поверке в специализированной организации (например, в лаборатории регионального центра стандартизации и метрологии или в организации, имеющей в своем распоряжении соответствующие испытательные лаборатории).</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На основании постановления правительства РФ от 20.04.10 № 250, начиная с 2012 г. поверка средств измерений количества электроэнергии, расхода холодной и горячей воды и газа, должна осуществляться только аккредитованными государственными региональными центрами метрологии. Поскольку в устройство узла учёта тепловой энергии входит и расходомер, то это требование будет относиться и к коммерческому учёту тепловой энергии.</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Суть метрологической поверки заключается в испытаниях прибора учёта на более точном оборудовании.</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Периодичность поверки указана в паспорте на прибор учёта. </w:t>
      </w:r>
      <w:proofErr w:type="spellStart"/>
      <w:r>
        <w:rPr>
          <w:rFonts w:ascii="Arial" w:hAnsi="Arial" w:cs="Arial"/>
          <w:color w:val="444444"/>
          <w:sz w:val="17"/>
          <w:szCs w:val="17"/>
        </w:rPr>
        <w:t>Межповерочный</w:t>
      </w:r>
      <w:proofErr w:type="spellEnd"/>
      <w:r>
        <w:rPr>
          <w:rFonts w:ascii="Arial" w:hAnsi="Arial" w:cs="Arial"/>
          <w:color w:val="444444"/>
          <w:sz w:val="17"/>
          <w:szCs w:val="17"/>
        </w:rPr>
        <w:t xml:space="preserve"> интервал (МПИ) приборов учёта тепловой энергии и счётчика горячей воды, как правило, составляет 4 года, а счётчика холодной воды – 6 лет.</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Каковы последствия эксплуатации непроверенных приборов?</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 Непосредственно на время проведения поверки разрешается оплата услуг по усреднённому расходу.</w:t>
      </w:r>
    </w:p>
    <w:p w:rsidR="00430C05" w:rsidRDefault="00430C05" w:rsidP="00430C05">
      <w:pPr>
        <w:pStyle w:val="a3"/>
        <w:spacing w:before="0" w:beforeAutospacing="0" w:after="0" w:afterAutospacing="0" w:line="360" w:lineRule="atLeast"/>
        <w:textAlignment w:val="baseline"/>
        <w:rPr>
          <w:rFonts w:ascii="Arial" w:hAnsi="Arial" w:cs="Arial"/>
          <w:color w:val="444444"/>
          <w:sz w:val="17"/>
          <w:szCs w:val="17"/>
        </w:rPr>
      </w:pPr>
      <w:r>
        <w:rPr>
          <w:rStyle w:val="a4"/>
          <w:rFonts w:ascii="Arial" w:hAnsi="Arial" w:cs="Arial"/>
          <w:color w:val="444444"/>
          <w:sz w:val="17"/>
          <w:szCs w:val="17"/>
          <w:bdr w:val="none" w:sz="0" w:space="0" w:color="auto" w:frame="1"/>
        </w:rPr>
        <w:t>Какие приборы учёта энергии можно применять?</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Следует устанавливать только те приборы учёта, которые включены в государственный реестр средств измерений и допущенные к применению на территории Российской Федерации.</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 xml:space="preserve">Однако даже включение прибора в </w:t>
      </w:r>
      <w:proofErr w:type="spellStart"/>
      <w:r>
        <w:rPr>
          <w:rFonts w:ascii="Arial" w:hAnsi="Arial" w:cs="Arial"/>
          <w:color w:val="444444"/>
          <w:sz w:val="17"/>
          <w:szCs w:val="17"/>
        </w:rPr>
        <w:t>Госреестр</w:t>
      </w:r>
      <w:proofErr w:type="spellEnd"/>
      <w:r>
        <w:rPr>
          <w:rFonts w:ascii="Arial" w:hAnsi="Arial" w:cs="Arial"/>
          <w:color w:val="444444"/>
          <w:sz w:val="17"/>
          <w:szCs w:val="17"/>
        </w:rPr>
        <w:t xml:space="preserve"> не гарантирует его качества. Поэтому необходимо вводить систему качества в теплоснабжении, помогающую теплоснабжающим и </w:t>
      </w:r>
      <w:proofErr w:type="spellStart"/>
      <w:r>
        <w:rPr>
          <w:rFonts w:ascii="Arial" w:hAnsi="Arial" w:cs="Arial"/>
          <w:color w:val="444444"/>
          <w:sz w:val="17"/>
          <w:szCs w:val="17"/>
        </w:rPr>
        <w:t>теплопотребляющим</w:t>
      </w:r>
      <w:proofErr w:type="spellEnd"/>
      <w:r>
        <w:rPr>
          <w:rFonts w:ascii="Arial" w:hAnsi="Arial" w:cs="Arial"/>
          <w:color w:val="444444"/>
          <w:sz w:val="17"/>
          <w:szCs w:val="17"/>
        </w:rPr>
        <w:t xml:space="preserve"> организациям применять передовой опыт, прогрессивное оборудование и новые технологические решения в области коммерческого учёта тепловой энергии.</w:t>
      </w:r>
    </w:p>
    <w:p w:rsidR="00430C05" w:rsidRDefault="00430C05" w:rsidP="00430C05">
      <w:pPr>
        <w:pStyle w:val="a3"/>
        <w:spacing w:before="0" w:beforeAutospacing="0" w:after="120" w:afterAutospacing="0" w:line="360" w:lineRule="atLeast"/>
        <w:textAlignment w:val="baseline"/>
        <w:rPr>
          <w:rFonts w:ascii="Arial" w:hAnsi="Arial" w:cs="Arial"/>
          <w:color w:val="444444"/>
          <w:sz w:val="17"/>
          <w:szCs w:val="17"/>
        </w:rPr>
      </w:pPr>
      <w:r>
        <w:rPr>
          <w:rFonts w:ascii="Arial" w:hAnsi="Arial" w:cs="Arial"/>
          <w:color w:val="444444"/>
          <w:sz w:val="17"/>
          <w:szCs w:val="17"/>
        </w:rPr>
        <w:t>Кроме того, правилами пользования электрической, тепловой энергии, воды и газа установлены требования к классу точности применяемых приборов учёта не ниже установленного порога. Класс точности – это возможная погрешность прибора учёта в диапазоне измерений, выраженная в процентах. Чем больше число, обозначающее класс точности, тем ниже точность прибора.</w:t>
      </w:r>
    </w:p>
    <w:p w:rsidR="00B203F4" w:rsidRDefault="00B203F4"/>
    <w:sectPr w:rsidR="00B20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30C05"/>
    <w:rsid w:val="00430C05"/>
    <w:rsid w:val="00B20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0C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0C05"/>
    <w:rPr>
      <w:rFonts w:ascii="Times New Roman" w:eastAsia="Times New Roman" w:hAnsi="Times New Roman" w:cs="Times New Roman"/>
      <w:b/>
      <w:bCs/>
      <w:sz w:val="36"/>
      <w:szCs w:val="36"/>
    </w:rPr>
  </w:style>
  <w:style w:type="paragraph" w:styleId="a3">
    <w:name w:val="Normal (Web)"/>
    <w:basedOn w:val="a"/>
    <w:uiPriority w:val="99"/>
    <w:semiHidden/>
    <w:unhideWhenUsed/>
    <w:rsid w:val="00430C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0C05"/>
    <w:rPr>
      <w:b/>
      <w:bCs/>
    </w:rPr>
  </w:style>
</w:styles>
</file>

<file path=word/webSettings.xml><?xml version="1.0" encoding="utf-8"?>
<w:webSettings xmlns:r="http://schemas.openxmlformats.org/officeDocument/2006/relationships" xmlns:w="http://schemas.openxmlformats.org/wordprocessingml/2006/main">
  <w:divs>
    <w:div w:id="357119616">
      <w:bodyDiv w:val="1"/>
      <w:marLeft w:val="0"/>
      <w:marRight w:val="0"/>
      <w:marTop w:val="0"/>
      <w:marBottom w:val="0"/>
      <w:divBdr>
        <w:top w:val="none" w:sz="0" w:space="0" w:color="auto"/>
        <w:left w:val="none" w:sz="0" w:space="0" w:color="auto"/>
        <w:bottom w:val="none" w:sz="0" w:space="0" w:color="auto"/>
        <w:right w:val="none" w:sz="0" w:space="0" w:color="auto"/>
      </w:divBdr>
    </w:div>
    <w:div w:id="17414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2174</Words>
  <Characters>12397</Characters>
  <Application>Microsoft Office Word</Application>
  <DocSecurity>0</DocSecurity>
  <Lines>103</Lines>
  <Paragraphs>29</Paragraphs>
  <ScaleCrop>false</ScaleCrop>
  <Company>Reanimator Extreme Edition</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2024-09-27T08:13:00Z</dcterms:created>
  <dcterms:modified xsi:type="dcterms:W3CDTF">2024-09-27T08:13:00Z</dcterms:modified>
</cp:coreProperties>
</file>